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68" w:rsidRDefault="00080D68" w:rsidP="00080D6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bookmarkStart w:id="0" w:name="OLE_LINK3"/>
      <w:bookmarkStart w:id="1" w:name="OLE_LINK4"/>
      <w:r>
        <w:rPr>
          <w:rFonts w:ascii="Verdana" w:hAnsi="Verdana" w:cs="Verdana"/>
          <w:sz w:val="26"/>
          <w:szCs w:val="26"/>
        </w:rPr>
        <w:t xml:space="preserve">ANNEX XV RESTRICTION REPORT – FOUR PHTHALATES Table 1. Proposed restriction </w:t>
      </w:r>
    </w:p>
    <w:tbl>
      <w:tblPr>
        <w:tblW w:w="529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717"/>
        <w:gridCol w:w="8063"/>
      </w:tblGrid>
      <w:tr w:rsidR="00080D68" w:rsidTr="00386045">
        <w:tblPrEx>
          <w:tblCellMar>
            <w:top w:w="0" w:type="dxa"/>
            <w:bottom w:w="0" w:type="dxa"/>
          </w:tblCellMar>
        </w:tblPrEx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0"/>
              </w:rPr>
            </w:pPr>
            <w:r w:rsidRPr="006C2D30">
              <w:rPr>
                <w:rFonts w:ascii="Times" w:hAnsi="Times" w:cs="Times"/>
                <w:noProof/>
                <w:sz w:val="20"/>
              </w:rPr>
              <w:drawing>
                <wp:inline distT="0" distB="0" distL="0" distR="0" wp14:anchorId="37271499" wp14:editId="714E04D3">
                  <wp:extent cx="8255" cy="82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proofErr w:type="spellStart"/>
            <w:proofErr w:type="gramStart"/>
            <w:r w:rsidRPr="006C2D30">
              <w:rPr>
                <w:rFonts w:ascii="Verdana" w:hAnsi="Verdana" w:cs="Verdana"/>
                <w:sz w:val="20"/>
              </w:rPr>
              <w:t>Bis</w:t>
            </w:r>
            <w:proofErr w:type="spellEnd"/>
            <w:r w:rsidRPr="006C2D30">
              <w:rPr>
                <w:rFonts w:ascii="Verdana" w:hAnsi="Verdana" w:cs="Verdana"/>
                <w:sz w:val="20"/>
              </w:rPr>
              <w:t>(</w:t>
            </w:r>
            <w:proofErr w:type="gramEnd"/>
            <w:r w:rsidRPr="006C2D30">
              <w:rPr>
                <w:rFonts w:ascii="Verdana" w:hAnsi="Verdana" w:cs="Verdana"/>
                <w:sz w:val="20"/>
              </w:rPr>
              <w:t xml:space="preserve">2-ethylhexyl) phthalate (DEHP) EC number: 204- 211-0 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 xml:space="preserve">CAS number: 117-81-7 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 xml:space="preserve">Benzyl butyl phthalate (BBP) EC number: 201- 622-7 CAS number: 85- 68-7 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proofErr w:type="spellStart"/>
            <w:r w:rsidRPr="006C2D30">
              <w:rPr>
                <w:rFonts w:ascii="Verdana" w:hAnsi="Verdana" w:cs="Verdana"/>
                <w:sz w:val="20"/>
              </w:rPr>
              <w:t>Dibutyl</w:t>
            </w:r>
            <w:proofErr w:type="spellEnd"/>
            <w:r w:rsidRPr="006C2D30">
              <w:rPr>
                <w:rFonts w:ascii="Verdana" w:hAnsi="Verdana" w:cs="Verdana"/>
                <w:sz w:val="20"/>
              </w:rPr>
              <w:t xml:space="preserve"> phthalate (DBP) EC number: 201- 557-4 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 xml:space="preserve">CAS number: 84- 74-2 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 xml:space="preserve">Diisobutyl phthalate (DIBP) EC number: 201- 553-2 CAS number: 84- 69-5 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0D68" w:rsidRPr="006C2D30" w:rsidRDefault="00080D68" w:rsidP="0038604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 xml:space="preserve">Articles containing DEHP, DBP, DIBP, and BBP in a concentration, individually or in combination, greater than or equal to 0.1% by weight of the </w:t>
            </w:r>
            <w:proofErr w:type="spellStart"/>
            <w:r w:rsidRPr="006C2D30">
              <w:rPr>
                <w:rFonts w:ascii="Verdana" w:hAnsi="Verdana" w:cs="Verdana"/>
                <w:sz w:val="20"/>
              </w:rPr>
              <w:t>plasticised</w:t>
            </w:r>
            <w:proofErr w:type="spellEnd"/>
            <w:r w:rsidRPr="006C2D30">
              <w:rPr>
                <w:rFonts w:ascii="Verdana" w:hAnsi="Verdana" w:cs="Verdana"/>
                <w:sz w:val="20"/>
              </w:rPr>
              <w:t xml:space="preserve"> material shall not be placed on the market.  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>Paragraph 1 shall apply three years from the entry into force of the restriction.  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 xml:space="preserve">Paragraphs 1 and 2 shall not apply to: 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proofErr w:type="gramStart"/>
            <w:r w:rsidRPr="006C2D30">
              <w:rPr>
                <w:rFonts w:ascii="Verdana" w:hAnsi="Verdana" w:cs="Verdana"/>
                <w:sz w:val="20"/>
              </w:rPr>
              <w:t>articles</w:t>
            </w:r>
            <w:proofErr w:type="gramEnd"/>
            <w:r w:rsidRPr="006C2D30">
              <w:rPr>
                <w:rFonts w:ascii="Verdana" w:hAnsi="Verdana" w:cs="Verdana"/>
                <w:sz w:val="20"/>
              </w:rPr>
              <w:t xml:space="preserve"> only for outdoor use where the phthalate-containing material is not in prolonged contact with human skin or any contact with human mucous membranes  "Prolonged contact with human skin" should in this context be understood as covering a daily overall contact with skin of more than 10 minutes continuously or 30 minutes discontinuously.  “Only for outdoor use” should in this context be understood as </w:t>
            </w:r>
            <w:proofErr w:type="gramStart"/>
            <w:r w:rsidRPr="006C2D30">
              <w:rPr>
                <w:rFonts w:ascii="Verdana" w:hAnsi="Verdana" w:cs="Verdana"/>
                <w:sz w:val="20"/>
              </w:rPr>
              <w:t>articles which</w:t>
            </w:r>
            <w:proofErr w:type="gramEnd"/>
            <w:r w:rsidRPr="006C2D30">
              <w:rPr>
                <w:rFonts w:ascii="Verdana" w:hAnsi="Verdana" w:cs="Verdana"/>
                <w:sz w:val="20"/>
              </w:rPr>
              <w:t xml:space="preserve"> are not used or stored in the interior of dwellings where humans are present under normal and reasonably foreseeable conditions.  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proofErr w:type="gramStart"/>
            <w:r w:rsidRPr="006C2D30">
              <w:rPr>
                <w:rFonts w:ascii="Verdana" w:hAnsi="Verdana" w:cs="Verdana"/>
                <w:sz w:val="20"/>
              </w:rPr>
              <w:t>articles</w:t>
            </w:r>
            <w:proofErr w:type="gramEnd"/>
            <w:r w:rsidRPr="006C2D30">
              <w:rPr>
                <w:rFonts w:ascii="Verdana" w:hAnsi="Verdana" w:cs="Verdana"/>
                <w:sz w:val="20"/>
              </w:rPr>
              <w:t xml:space="preserve"> only for use in industrial or agricultural workplaces. This derogation does not apply to articles where the phthalate-containing material is in prolonged contact with human skin by workers.  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proofErr w:type="gramStart"/>
            <w:r w:rsidRPr="006C2D30">
              <w:rPr>
                <w:rFonts w:ascii="Verdana" w:hAnsi="Verdana" w:cs="Verdana"/>
                <w:sz w:val="20"/>
              </w:rPr>
              <w:t>measuring</w:t>
            </w:r>
            <w:proofErr w:type="gramEnd"/>
            <w:r w:rsidRPr="006C2D30">
              <w:rPr>
                <w:rFonts w:ascii="Verdana" w:hAnsi="Verdana" w:cs="Verdana"/>
                <w:sz w:val="20"/>
              </w:rPr>
              <w:t xml:space="preserve"> devices for laboratory use  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proofErr w:type="gramStart"/>
            <w:r w:rsidRPr="006C2D30">
              <w:rPr>
                <w:rFonts w:ascii="Verdana" w:hAnsi="Verdana" w:cs="Verdana"/>
                <w:sz w:val="20"/>
              </w:rPr>
              <w:t>articles</w:t>
            </w:r>
            <w:proofErr w:type="gramEnd"/>
            <w:r w:rsidRPr="006C2D30">
              <w:rPr>
                <w:rFonts w:ascii="Verdana" w:hAnsi="Verdana" w:cs="Verdana"/>
                <w:sz w:val="20"/>
              </w:rPr>
              <w:t xml:space="preserve"> placed on the market in the European Union prior to the date in paragraph 2.  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 xml:space="preserve">Paragraph 1 and 2 shall not apply to articles covered under existing legislation: 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>Food contact materials covered by Regulation (EC) No 1935/2004 and Regulation (EU) No 10/2011 on plastic materials.  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>Immediate packaging of medicinal products covered by Regulation (EC) No 726/2004, Directive 2001/82/EC or Directive 2001/83/EC, or to medical devices covered by Directive 90/385/EEC, Directive 93/42/EEC or Directive 98/79/EC.  </w:t>
            </w:r>
          </w:p>
          <w:p w:rsidR="00080D68" w:rsidRPr="006C2D30" w:rsidRDefault="00080D68" w:rsidP="0038604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Verdana" w:hAnsi="Verdana" w:cs="Verdana"/>
                <w:sz w:val="20"/>
              </w:rPr>
            </w:pPr>
            <w:r w:rsidRPr="006C2D30">
              <w:rPr>
                <w:rFonts w:ascii="Verdana" w:hAnsi="Verdana" w:cs="Verdana"/>
                <w:sz w:val="20"/>
              </w:rPr>
              <w:t>Toys and childcare articles containing DEHP, DBP and BBP covered by existing restriction entry 51 in Annex XVII of REACH ‘Childcare article’ is de</w:t>
            </w:r>
            <w:bookmarkStart w:id="2" w:name="_GoBack"/>
            <w:bookmarkEnd w:id="2"/>
            <w:r w:rsidRPr="006C2D30">
              <w:rPr>
                <w:rFonts w:ascii="Verdana" w:hAnsi="Verdana" w:cs="Verdana"/>
                <w:sz w:val="20"/>
              </w:rPr>
              <w:t>fined as in the existing restriction entry 51 in Annex XVII.  </w:t>
            </w:r>
          </w:p>
          <w:p w:rsidR="00080D68" w:rsidRPr="006C2D30" w:rsidRDefault="00080D68" w:rsidP="00386045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Times" w:hAnsi="Times" w:cs="Times"/>
                <w:sz w:val="20"/>
              </w:rPr>
            </w:pPr>
            <w:r w:rsidRPr="006C2D30">
              <w:rPr>
                <w:rFonts w:ascii="Times" w:hAnsi="Times" w:cs="Times"/>
                <w:noProof/>
                <w:sz w:val="20"/>
              </w:rPr>
              <w:drawing>
                <wp:inline distT="0" distB="0" distL="0" distR="0" wp14:anchorId="591C0B49" wp14:editId="23E9DA72">
                  <wp:extent cx="8255" cy="82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88377C" w:rsidRDefault="0088377C"/>
    <w:sectPr w:rsidR="0088377C" w:rsidSect="00080D68">
      <w:pgSz w:w="11906" w:h="16838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68"/>
    <w:rsid w:val="00080D68"/>
    <w:rsid w:val="008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EF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Voskian</dc:creator>
  <cp:keywords/>
  <dc:description/>
  <cp:lastModifiedBy>Alfred Voskian</cp:lastModifiedBy>
  <cp:revision>1</cp:revision>
  <dcterms:created xsi:type="dcterms:W3CDTF">2016-04-20T16:28:00Z</dcterms:created>
  <dcterms:modified xsi:type="dcterms:W3CDTF">2016-04-20T16:29:00Z</dcterms:modified>
</cp:coreProperties>
</file>